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D017" w14:textId="5D5B036B" w:rsidR="00F24E7C" w:rsidRPr="00FF1B88" w:rsidRDefault="00F24E7C" w:rsidP="00FF1B88">
      <w:pPr>
        <w:widowControl/>
        <w:shd w:val="clear" w:color="auto" w:fill="FFFFFF"/>
        <w:spacing w:line="360" w:lineRule="auto"/>
        <w:jc w:val="center"/>
        <w:rPr>
          <w:rFonts w:ascii="黑体" w:eastAsia="黑体" w:hAnsi="黑体"/>
          <w:kern w:val="0"/>
          <w:sz w:val="32"/>
          <w:szCs w:val="32"/>
        </w:rPr>
      </w:pPr>
      <w:r w:rsidRPr="00FF1B88">
        <w:rPr>
          <w:rFonts w:ascii="黑体" w:eastAsia="黑体" w:hAnsi="黑体" w:cs="宋体" w:hint="eastAsia"/>
          <w:b/>
          <w:bCs/>
          <w:kern w:val="0"/>
          <w:sz w:val="32"/>
          <w:szCs w:val="32"/>
        </w:rPr>
        <w:t>浙江省德润公益基金会</w:t>
      </w:r>
      <w:r w:rsidRPr="00FF1B88">
        <w:rPr>
          <w:rFonts w:ascii="黑体" w:eastAsia="黑体" w:hAnsi="黑体" w:hint="eastAsia"/>
          <w:kern w:val="0"/>
          <w:sz w:val="32"/>
          <w:szCs w:val="32"/>
        </w:rPr>
        <w:t>关联交易管理制度</w:t>
      </w:r>
    </w:p>
    <w:p w14:paraId="2B79A800" w14:textId="22D452F6" w:rsidR="00F24E7C" w:rsidRPr="00FF1B88" w:rsidRDefault="00DA7D98" w:rsidP="00FF1B88">
      <w:pPr>
        <w:tabs>
          <w:tab w:val="left" w:pos="6270"/>
        </w:tabs>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ab/>
      </w:r>
    </w:p>
    <w:p w14:paraId="78FACC72" w14:textId="3EBBEAE2" w:rsidR="00F24E7C" w:rsidRPr="00FF1B88" w:rsidRDefault="00F24E7C" w:rsidP="00FF1B88">
      <w:pPr>
        <w:spacing w:line="360" w:lineRule="auto"/>
        <w:contextualSpacing/>
        <w:rPr>
          <w:rFonts w:ascii="宋体" w:eastAsia="宋体" w:hAnsi="宋体" w:cs="宋体"/>
          <w:b/>
          <w:bCs/>
          <w:color w:val="000000"/>
          <w:kern w:val="0"/>
          <w:sz w:val="24"/>
          <w:szCs w:val="24"/>
        </w:rPr>
      </w:pPr>
      <w:r w:rsidRPr="00FF1B88">
        <w:rPr>
          <w:rFonts w:ascii="宋体" w:eastAsia="宋体" w:hAnsi="宋体" w:cs="宋体"/>
          <w:b/>
          <w:bCs/>
          <w:color w:val="000000"/>
          <w:kern w:val="0"/>
          <w:sz w:val="24"/>
          <w:szCs w:val="24"/>
        </w:rPr>
        <w:t>第一章</w:t>
      </w:r>
      <w:r w:rsidR="00FF1B88">
        <w:rPr>
          <w:rFonts w:ascii="宋体" w:eastAsia="宋体" w:hAnsi="宋体" w:cs="宋体"/>
          <w:b/>
          <w:bCs/>
          <w:color w:val="000000"/>
          <w:kern w:val="0"/>
          <w:sz w:val="24"/>
          <w:szCs w:val="24"/>
        </w:rPr>
        <w:t xml:space="preserve">  </w:t>
      </w:r>
      <w:r w:rsidRPr="00FF1B88">
        <w:rPr>
          <w:rFonts w:ascii="宋体" w:eastAsia="宋体" w:hAnsi="宋体" w:cs="宋体"/>
          <w:b/>
          <w:bCs/>
          <w:color w:val="000000"/>
          <w:kern w:val="0"/>
          <w:sz w:val="24"/>
          <w:szCs w:val="24"/>
        </w:rPr>
        <w:t>总则</w:t>
      </w:r>
    </w:p>
    <w:p w14:paraId="488232D1" w14:textId="3682FF0A"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b/>
          <w:bCs/>
          <w:color w:val="000000"/>
          <w:kern w:val="0"/>
          <w:sz w:val="24"/>
          <w:szCs w:val="24"/>
        </w:rPr>
        <w:t>第一条</w:t>
      </w:r>
      <w:r w:rsidRPr="00FF1B88">
        <w:rPr>
          <w:rFonts w:ascii="宋体" w:eastAsia="宋体" w:hAnsi="宋体" w:cs="宋体"/>
          <w:color w:val="000000"/>
          <w:kern w:val="0"/>
          <w:sz w:val="24"/>
          <w:szCs w:val="24"/>
        </w:rPr>
        <w:t> 根据《基金会管理条例》、《</w:t>
      </w:r>
      <w:r w:rsidRPr="00FF1B88">
        <w:rPr>
          <w:rFonts w:ascii="宋体" w:eastAsia="宋体" w:hAnsi="宋体" w:cs="宋体" w:hint="eastAsia"/>
          <w:color w:val="000000"/>
          <w:kern w:val="0"/>
          <w:sz w:val="24"/>
          <w:szCs w:val="24"/>
        </w:rPr>
        <w:t>浙江省德润公益</w:t>
      </w:r>
      <w:r w:rsidRPr="00FF1B88">
        <w:rPr>
          <w:rFonts w:ascii="宋体" w:eastAsia="宋体" w:hAnsi="宋体" w:cs="宋体"/>
          <w:color w:val="000000"/>
          <w:kern w:val="0"/>
          <w:sz w:val="24"/>
          <w:szCs w:val="24"/>
        </w:rPr>
        <w:t>基金会章程》及其他法律法规的规定，为了保证</w:t>
      </w:r>
      <w:r w:rsidRPr="00FF1B88">
        <w:rPr>
          <w:rFonts w:ascii="宋体" w:eastAsia="宋体" w:hAnsi="宋体" w:cs="宋体" w:hint="eastAsia"/>
          <w:color w:val="000000"/>
          <w:kern w:val="0"/>
          <w:sz w:val="24"/>
          <w:szCs w:val="24"/>
        </w:rPr>
        <w:t>浙江省德润公益</w:t>
      </w:r>
      <w:r w:rsidRPr="00FF1B88">
        <w:rPr>
          <w:rFonts w:ascii="宋体" w:eastAsia="宋体" w:hAnsi="宋体" w:cs="宋体"/>
          <w:color w:val="000000"/>
          <w:kern w:val="0"/>
          <w:sz w:val="24"/>
          <w:szCs w:val="24"/>
        </w:rPr>
        <w:t>基金会（以下简称“基金会”）与关联方之间发生的关联交易符合公平、公正、公开原则，确保基金会关联交易不损害基金会的利益，特制定本办法。</w:t>
      </w:r>
    </w:p>
    <w:p w14:paraId="45E44A13" w14:textId="7A904469"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b/>
          <w:bCs/>
          <w:color w:val="000000"/>
          <w:kern w:val="0"/>
          <w:sz w:val="24"/>
          <w:szCs w:val="24"/>
        </w:rPr>
        <w:t>第二条 </w:t>
      </w:r>
      <w:r w:rsidRPr="00FF1B88">
        <w:rPr>
          <w:rFonts w:ascii="宋体" w:eastAsia="宋体" w:hAnsi="宋体" w:cs="宋体"/>
          <w:color w:val="000000"/>
          <w:kern w:val="0"/>
          <w:sz w:val="24"/>
          <w:szCs w:val="24"/>
        </w:rPr>
        <w:t>基金会的关联交易，是指基金会和具有关联关系的关联人之间发生的转移资源或义务的事项。</w:t>
      </w:r>
    </w:p>
    <w:p w14:paraId="61FAA60C" w14:textId="77221819"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b/>
          <w:bCs/>
          <w:color w:val="000000"/>
          <w:kern w:val="0"/>
          <w:sz w:val="24"/>
          <w:szCs w:val="24"/>
        </w:rPr>
        <w:t>第三条</w:t>
      </w:r>
      <w:r w:rsidRPr="00FF1B88">
        <w:rPr>
          <w:rFonts w:ascii="宋体" w:eastAsia="宋体" w:hAnsi="宋体" w:cs="宋体"/>
          <w:color w:val="000000"/>
          <w:kern w:val="0"/>
          <w:sz w:val="24"/>
          <w:szCs w:val="24"/>
        </w:rPr>
        <w:t> 基金会关联关系应当遵循以下原则：</w:t>
      </w:r>
    </w:p>
    <w:p w14:paraId="67C110D2"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（一）公平、公开、公正的原则；</w:t>
      </w:r>
    </w:p>
    <w:p w14:paraId="74AF28CB"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（二）平等、自愿、有偿、等价的原则；</w:t>
      </w:r>
    </w:p>
    <w:p w14:paraId="7EBCF226"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（三）基金会不得利用关联关系损害基金会合法权益；</w:t>
      </w:r>
    </w:p>
    <w:p w14:paraId="31A28621"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（四）基金会做关联交易表决时候，有必要的可以聘请专业的财务、法律机构出具专业意见。</w:t>
      </w:r>
    </w:p>
    <w:p w14:paraId="4300703D" w14:textId="25BE73E4"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b/>
          <w:bCs/>
          <w:color w:val="000000"/>
          <w:kern w:val="0"/>
          <w:sz w:val="24"/>
          <w:szCs w:val="24"/>
        </w:rPr>
        <w:t>第二章 关联人和关联交易范围</w:t>
      </w:r>
    </w:p>
    <w:p w14:paraId="02DE9C3F" w14:textId="4D9A64E5"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b/>
          <w:bCs/>
          <w:color w:val="000000"/>
          <w:kern w:val="0"/>
          <w:sz w:val="24"/>
          <w:szCs w:val="24"/>
        </w:rPr>
        <w:t>第四条 </w:t>
      </w:r>
      <w:r w:rsidRPr="00FF1B88">
        <w:rPr>
          <w:rFonts w:ascii="宋体" w:eastAsia="宋体" w:hAnsi="宋体" w:cs="宋体"/>
          <w:color w:val="000000"/>
          <w:kern w:val="0"/>
          <w:sz w:val="24"/>
          <w:szCs w:val="24"/>
        </w:rPr>
        <w:t>本办法所称的关联关系，是指基金会的发起人、理事主要来源单位、投资的被投资方以及其他与基金会之间存在控制、共同控制或者重大影响关系的个人或者组织与基金会之间的关系。</w:t>
      </w:r>
    </w:p>
    <w:p w14:paraId="311CC653" w14:textId="67A2E7B6"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b/>
          <w:bCs/>
          <w:color w:val="000000"/>
          <w:kern w:val="0"/>
          <w:sz w:val="24"/>
          <w:szCs w:val="24"/>
        </w:rPr>
        <w:t>第五条 </w:t>
      </w:r>
      <w:r w:rsidRPr="00FF1B88">
        <w:rPr>
          <w:rFonts w:ascii="宋体" w:eastAsia="宋体" w:hAnsi="宋体" w:cs="宋体"/>
          <w:color w:val="000000"/>
          <w:kern w:val="0"/>
          <w:sz w:val="24"/>
          <w:szCs w:val="24"/>
        </w:rPr>
        <w:t>关联人具体包括：具有关联关系的自然人、法人和其他组织。</w:t>
      </w:r>
    </w:p>
    <w:p w14:paraId="37F122CA" w14:textId="167825FC"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b/>
          <w:bCs/>
          <w:color w:val="000000"/>
          <w:kern w:val="0"/>
          <w:sz w:val="24"/>
          <w:szCs w:val="24"/>
        </w:rPr>
        <w:t>第六条</w:t>
      </w:r>
      <w:r w:rsidRPr="00FF1B88">
        <w:rPr>
          <w:rFonts w:ascii="宋体" w:eastAsia="宋体" w:hAnsi="宋体" w:cs="宋体"/>
          <w:color w:val="000000"/>
          <w:kern w:val="0"/>
          <w:sz w:val="24"/>
          <w:szCs w:val="24"/>
        </w:rPr>
        <w:t> 关联关系的自然人包括，基金会的发起人、基金会的理事、总监以上职务的工作人员等。</w:t>
      </w:r>
    </w:p>
    <w:p w14:paraId="38D0788C" w14:textId="6CE87DAE"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b/>
          <w:bCs/>
          <w:color w:val="000000"/>
          <w:kern w:val="0"/>
          <w:sz w:val="24"/>
          <w:szCs w:val="24"/>
        </w:rPr>
        <w:t>第七条</w:t>
      </w:r>
      <w:r w:rsidRPr="00FF1B88">
        <w:rPr>
          <w:rFonts w:ascii="宋体" w:eastAsia="宋体" w:hAnsi="宋体" w:cs="宋体"/>
          <w:color w:val="000000"/>
          <w:kern w:val="0"/>
          <w:sz w:val="24"/>
          <w:szCs w:val="24"/>
        </w:rPr>
        <w:t> 关联关系的法人和其他组织包括，具有关联关系的自然人直接或者间接控制的企业、法人或者其他组织。</w:t>
      </w:r>
    </w:p>
    <w:p w14:paraId="30AD728B" w14:textId="43379145"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b/>
          <w:bCs/>
          <w:color w:val="000000"/>
          <w:kern w:val="0"/>
          <w:sz w:val="24"/>
          <w:szCs w:val="24"/>
        </w:rPr>
        <w:t>第八条</w:t>
      </w:r>
      <w:r w:rsidRPr="00FF1B88">
        <w:rPr>
          <w:rFonts w:ascii="宋体" w:eastAsia="宋体" w:hAnsi="宋体" w:cs="宋体"/>
          <w:color w:val="000000"/>
          <w:kern w:val="0"/>
          <w:sz w:val="24"/>
          <w:szCs w:val="24"/>
        </w:rPr>
        <w:t> 本办法所指的关联交易包括但不限于下列事项：</w:t>
      </w:r>
    </w:p>
    <w:p w14:paraId="0910169E"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（一）基金会出资购买或向基金会销售商品或者服务；</w:t>
      </w:r>
    </w:p>
    <w:p w14:paraId="49404FE3"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（二）向基金会提供或者需要支付酬劳的劳务；</w:t>
      </w:r>
    </w:p>
    <w:p w14:paraId="4345A2EA"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（三）有偿代理、租赁；</w:t>
      </w:r>
    </w:p>
    <w:p w14:paraId="6187B09D"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（四）基金会向关联人提供资金；</w:t>
      </w:r>
    </w:p>
    <w:p w14:paraId="2D8F6D6C"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lastRenderedPageBreak/>
        <w:t>（五）向关联人发生基金会的保值增值业务；</w:t>
      </w:r>
    </w:p>
    <w:p w14:paraId="7265A1C5"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（六）管理方面的合同；</w:t>
      </w:r>
    </w:p>
    <w:p w14:paraId="3FFC0518"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（七）授权许可协议。</w:t>
      </w:r>
    </w:p>
    <w:p w14:paraId="425C2D61" w14:textId="508C538E"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b/>
          <w:bCs/>
          <w:color w:val="000000"/>
          <w:kern w:val="0"/>
          <w:sz w:val="24"/>
          <w:szCs w:val="24"/>
        </w:rPr>
        <w:t>第九条</w:t>
      </w:r>
      <w:r w:rsidRPr="00FF1B88">
        <w:rPr>
          <w:rFonts w:ascii="宋体" w:eastAsia="宋体" w:hAnsi="宋体" w:cs="宋体"/>
          <w:color w:val="000000"/>
          <w:kern w:val="0"/>
          <w:sz w:val="24"/>
          <w:szCs w:val="24"/>
        </w:rPr>
        <w:t> 本办法禁止的关联交易行为包括：</w:t>
      </w:r>
    </w:p>
    <w:p w14:paraId="6545BCE6"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（一）由基金会向关联人自然人和关联法人提供担保；</w:t>
      </w:r>
    </w:p>
    <w:p w14:paraId="3F6CBB84"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（二）关联自然人不得与基金会有任何有偿交易行为，为关联人员发放薪酬福利的除外。</w:t>
      </w:r>
    </w:p>
    <w:p w14:paraId="49628960" w14:textId="01F2A813" w:rsidR="00F24E7C" w:rsidRPr="00FF1B88" w:rsidRDefault="00F24E7C" w:rsidP="00FF1B88">
      <w:pPr>
        <w:spacing w:line="360" w:lineRule="auto"/>
        <w:contextualSpacing/>
        <w:rPr>
          <w:rFonts w:ascii="宋体" w:eastAsia="宋体" w:hAnsi="宋体" w:cs="宋体"/>
          <w:b/>
          <w:bCs/>
          <w:color w:val="000000"/>
          <w:kern w:val="0"/>
          <w:sz w:val="24"/>
          <w:szCs w:val="24"/>
        </w:rPr>
      </w:pPr>
      <w:r w:rsidRPr="00FF1B88">
        <w:rPr>
          <w:rFonts w:ascii="宋体" w:eastAsia="宋体" w:hAnsi="宋体" w:cs="宋体"/>
          <w:b/>
          <w:bCs/>
          <w:color w:val="000000"/>
          <w:kern w:val="0"/>
          <w:sz w:val="24"/>
          <w:szCs w:val="24"/>
        </w:rPr>
        <w:t>第三章 关联交易决策</w:t>
      </w:r>
    </w:p>
    <w:p w14:paraId="643CFA38" w14:textId="693EB30A"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b/>
          <w:bCs/>
          <w:color w:val="000000"/>
          <w:kern w:val="0"/>
          <w:sz w:val="24"/>
          <w:szCs w:val="24"/>
        </w:rPr>
        <w:t>第十条</w:t>
      </w:r>
      <w:r w:rsidRPr="00FF1B88">
        <w:rPr>
          <w:rFonts w:ascii="宋体" w:eastAsia="宋体" w:hAnsi="宋体" w:cs="宋体"/>
          <w:color w:val="000000"/>
          <w:kern w:val="0"/>
          <w:sz w:val="24"/>
          <w:szCs w:val="24"/>
        </w:rPr>
        <w:t> 关联交易决策应符合以下条件：</w:t>
      </w:r>
    </w:p>
    <w:p w14:paraId="12582817"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（一）关联交易须由理事会表决；</w:t>
      </w:r>
    </w:p>
    <w:p w14:paraId="5B06A37D"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（二）三分之二以上理事出席；</w:t>
      </w:r>
    </w:p>
    <w:p w14:paraId="28BAE7E6" w14:textId="16AADD83"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（三）属于《基金会管理条例》或《</w:t>
      </w:r>
      <w:r w:rsidRPr="00FF1B88">
        <w:rPr>
          <w:rFonts w:ascii="宋体" w:eastAsia="宋体" w:hAnsi="宋体" w:cs="宋体" w:hint="eastAsia"/>
          <w:color w:val="000000"/>
          <w:kern w:val="0"/>
          <w:sz w:val="24"/>
          <w:szCs w:val="24"/>
        </w:rPr>
        <w:t>浙江省德润公益</w:t>
      </w:r>
      <w:r w:rsidRPr="00FF1B88">
        <w:rPr>
          <w:rFonts w:ascii="宋体" w:eastAsia="宋体" w:hAnsi="宋体" w:cs="宋体"/>
          <w:color w:val="000000"/>
          <w:kern w:val="0"/>
          <w:sz w:val="24"/>
          <w:szCs w:val="24"/>
        </w:rPr>
        <w:t>基金会章程》规定的重大事项的，须经出席理事三分之二以上通过方为有效；</w:t>
      </w:r>
    </w:p>
    <w:p w14:paraId="255F3534"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（四）一般事项的表决需经出席理事过半数通过方为有效。</w:t>
      </w:r>
    </w:p>
    <w:p w14:paraId="5088CCC7" w14:textId="299E3115"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b/>
          <w:bCs/>
          <w:color w:val="000000"/>
          <w:kern w:val="0"/>
          <w:sz w:val="24"/>
          <w:szCs w:val="24"/>
        </w:rPr>
        <w:t>第十一条</w:t>
      </w:r>
      <w:r w:rsidRPr="00FF1B88">
        <w:rPr>
          <w:rFonts w:ascii="宋体" w:eastAsia="宋体" w:hAnsi="宋体" w:cs="宋体"/>
          <w:color w:val="000000"/>
          <w:kern w:val="0"/>
          <w:sz w:val="24"/>
          <w:szCs w:val="24"/>
        </w:rPr>
        <w:t> 根据本章规定批准实施的关联交易，基金会关联人在基金会签署涉及关联交易的协议时，应当采取必要的回避措施：</w:t>
      </w:r>
    </w:p>
    <w:p w14:paraId="2B24D3AC"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（一）任何人只能代表一方签署协议；</w:t>
      </w:r>
    </w:p>
    <w:p w14:paraId="3ED93E1C"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（二）关联人不得以任何方式干预基金会的决定。</w:t>
      </w:r>
    </w:p>
    <w:p w14:paraId="2F307CBC" w14:textId="57EFC1FA" w:rsidR="00F24E7C" w:rsidRPr="00FF1B88" w:rsidRDefault="00F24E7C" w:rsidP="00FF1B88">
      <w:pPr>
        <w:spacing w:line="360" w:lineRule="auto"/>
        <w:contextualSpacing/>
        <w:rPr>
          <w:rFonts w:ascii="宋体" w:eastAsia="宋体" w:hAnsi="宋体" w:cs="宋体"/>
          <w:b/>
          <w:bCs/>
          <w:color w:val="000000"/>
          <w:kern w:val="0"/>
          <w:sz w:val="24"/>
          <w:szCs w:val="24"/>
        </w:rPr>
      </w:pPr>
      <w:r w:rsidRPr="00FF1B88">
        <w:rPr>
          <w:rFonts w:ascii="宋体" w:eastAsia="宋体" w:hAnsi="宋体" w:cs="宋体"/>
          <w:b/>
          <w:bCs/>
          <w:color w:val="000000"/>
          <w:kern w:val="0"/>
          <w:sz w:val="24"/>
          <w:szCs w:val="24"/>
        </w:rPr>
        <w:t>第四章 信息公开</w:t>
      </w:r>
    </w:p>
    <w:p w14:paraId="722DF37D" w14:textId="029C46F0"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b/>
          <w:bCs/>
          <w:color w:val="000000"/>
          <w:kern w:val="0"/>
          <w:sz w:val="24"/>
          <w:szCs w:val="24"/>
        </w:rPr>
        <w:t>第十二条</w:t>
      </w:r>
      <w:r w:rsidRPr="00FF1B88">
        <w:rPr>
          <w:rFonts w:ascii="宋体" w:eastAsia="宋体" w:hAnsi="宋体" w:cs="宋体"/>
          <w:color w:val="000000"/>
          <w:kern w:val="0"/>
          <w:sz w:val="24"/>
          <w:szCs w:val="24"/>
        </w:rPr>
        <w:t> 基金会进行关联交易的，应当依法进行信息公开。信息公开应当真实、完整。</w:t>
      </w:r>
    </w:p>
    <w:p w14:paraId="67E2EF47" w14:textId="2600E34A"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b/>
          <w:bCs/>
          <w:color w:val="000000"/>
          <w:kern w:val="0"/>
          <w:sz w:val="24"/>
          <w:szCs w:val="24"/>
        </w:rPr>
        <w:t>第十三条</w:t>
      </w:r>
      <w:r w:rsidRPr="00FF1B88">
        <w:rPr>
          <w:rFonts w:ascii="宋体" w:eastAsia="宋体" w:hAnsi="宋体" w:cs="宋体"/>
          <w:color w:val="000000"/>
          <w:kern w:val="0"/>
          <w:sz w:val="24"/>
          <w:szCs w:val="24"/>
        </w:rPr>
        <w:t> 基金会与其他个人或组织发生重大交易或资金往来的，应及时向社会公开事由和金额。重大交易及资金往来的标准，由基金会依据有关法律法规规章在章程规定或者在财务和资产管理制度中规定。</w:t>
      </w:r>
    </w:p>
    <w:p w14:paraId="08027427" w14:textId="5345689A"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b/>
          <w:bCs/>
          <w:color w:val="000000"/>
          <w:kern w:val="0"/>
          <w:sz w:val="24"/>
          <w:szCs w:val="24"/>
        </w:rPr>
        <w:t>第十四条</w:t>
      </w:r>
      <w:r w:rsidRPr="00FF1B88">
        <w:rPr>
          <w:rFonts w:ascii="宋体" w:eastAsia="宋体" w:hAnsi="宋体" w:cs="宋体"/>
          <w:color w:val="000000"/>
          <w:kern w:val="0"/>
          <w:sz w:val="24"/>
          <w:szCs w:val="24"/>
        </w:rPr>
        <w:t> 基金会发生下列关联交易，应当在交易发生后及时在慈善中国向社会公开交易内容和金额：</w:t>
      </w:r>
    </w:p>
    <w:p w14:paraId="612EAB39"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（一）与重要关联方发生交易；</w:t>
      </w:r>
    </w:p>
    <w:p w14:paraId="566B863E"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（二）接受重要关联方捐赠；</w:t>
      </w:r>
    </w:p>
    <w:p w14:paraId="7609DEDF"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（三）对重要关联方进行资助；</w:t>
      </w:r>
    </w:p>
    <w:p w14:paraId="73B815DB"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lastRenderedPageBreak/>
        <w:t>（四）与重要关联方共同投资；</w:t>
      </w:r>
    </w:p>
    <w:p w14:paraId="782B74B5"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（五）委托重要关联方开展投资活动；</w:t>
      </w:r>
    </w:p>
    <w:p w14:paraId="3629313A" w14:textId="77777777"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（六）与重要关联方发生资金往来。</w:t>
      </w:r>
    </w:p>
    <w:p w14:paraId="65524015" w14:textId="59B2ADCE"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b/>
          <w:bCs/>
          <w:color w:val="000000"/>
          <w:kern w:val="0"/>
          <w:sz w:val="24"/>
          <w:szCs w:val="24"/>
        </w:rPr>
        <w:t>第十五条</w:t>
      </w:r>
      <w:r w:rsidRPr="00FF1B88">
        <w:rPr>
          <w:rFonts w:ascii="宋体" w:eastAsia="宋体" w:hAnsi="宋体" w:cs="宋体"/>
          <w:color w:val="000000"/>
          <w:kern w:val="0"/>
          <w:sz w:val="24"/>
          <w:szCs w:val="24"/>
        </w:rPr>
        <w:t> 基金会发生关联交易的，业务人员应当及时将关联信息发布在基金会官方网站及慈善中国等平台。</w:t>
      </w:r>
    </w:p>
    <w:p w14:paraId="1F714072" w14:textId="56192338" w:rsidR="00F24E7C" w:rsidRPr="00FF1B88" w:rsidRDefault="00F24E7C" w:rsidP="00FF1B88">
      <w:pPr>
        <w:spacing w:line="360" w:lineRule="auto"/>
        <w:contextualSpacing/>
        <w:rPr>
          <w:rFonts w:ascii="宋体" w:eastAsia="宋体" w:hAnsi="宋体" w:cs="宋体"/>
          <w:b/>
          <w:bCs/>
          <w:color w:val="000000"/>
          <w:kern w:val="0"/>
          <w:sz w:val="24"/>
          <w:szCs w:val="24"/>
        </w:rPr>
      </w:pPr>
      <w:r w:rsidRPr="00FF1B88">
        <w:rPr>
          <w:rFonts w:ascii="宋体" w:eastAsia="宋体" w:hAnsi="宋体" w:cs="宋体"/>
          <w:b/>
          <w:bCs/>
          <w:color w:val="000000"/>
          <w:kern w:val="0"/>
          <w:sz w:val="24"/>
          <w:szCs w:val="24"/>
        </w:rPr>
        <w:t>第五章 法律责任</w:t>
      </w:r>
    </w:p>
    <w:p w14:paraId="56C20E95" w14:textId="1A6FC738"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color w:val="000000"/>
          <w:kern w:val="0"/>
          <w:sz w:val="24"/>
          <w:szCs w:val="24"/>
        </w:rPr>
        <w:t>第十六条 基金会违反《基金会管理条例》以及本办法进行关联交易，变相转移、隐匿、分配基金会财产的，财政部门和税务部门将取消基金会的免税资格。</w:t>
      </w:r>
    </w:p>
    <w:p w14:paraId="6DB65AAB" w14:textId="62DC63BA"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b/>
          <w:bCs/>
          <w:color w:val="000000"/>
          <w:kern w:val="0"/>
          <w:sz w:val="24"/>
          <w:szCs w:val="24"/>
        </w:rPr>
        <w:t>第十七条</w:t>
      </w:r>
      <w:r w:rsidR="00FF1B88">
        <w:rPr>
          <w:rFonts w:ascii="宋体" w:eastAsia="宋体" w:hAnsi="宋体" w:cs="宋体" w:hint="eastAsia"/>
          <w:b/>
          <w:bCs/>
          <w:color w:val="000000"/>
          <w:kern w:val="0"/>
          <w:sz w:val="24"/>
          <w:szCs w:val="24"/>
        </w:rPr>
        <w:t xml:space="preserve"> </w:t>
      </w:r>
      <w:r w:rsidR="00FF1B88">
        <w:rPr>
          <w:rFonts w:ascii="宋体" w:eastAsia="宋体" w:hAnsi="宋体" w:cs="宋体"/>
          <w:b/>
          <w:bCs/>
          <w:color w:val="000000"/>
          <w:kern w:val="0"/>
          <w:sz w:val="24"/>
          <w:szCs w:val="24"/>
        </w:rPr>
        <w:t xml:space="preserve"> </w:t>
      </w:r>
      <w:r w:rsidRPr="00FF1B88">
        <w:rPr>
          <w:rFonts w:ascii="宋体" w:eastAsia="宋体" w:hAnsi="宋体" w:cs="宋体"/>
          <w:color w:val="000000"/>
          <w:kern w:val="0"/>
          <w:sz w:val="24"/>
          <w:szCs w:val="24"/>
        </w:rPr>
        <w:t>关联人违反本制度进行关联交易，侵占、挪用基金会财产的，应当退还非法占用的财产；构成犯罪的，由司法机关依法追究刑事责任。</w:t>
      </w:r>
    </w:p>
    <w:p w14:paraId="07C14B95" w14:textId="67FCB982" w:rsidR="00F24E7C" w:rsidRPr="00FF1B88" w:rsidRDefault="00F24E7C" w:rsidP="00FF1B88">
      <w:pPr>
        <w:spacing w:line="360" w:lineRule="auto"/>
        <w:contextualSpacing/>
        <w:rPr>
          <w:rFonts w:ascii="宋体" w:eastAsia="宋体" w:hAnsi="宋体" w:cs="宋体"/>
          <w:b/>
          <w:bCs/>
          <w:color w:val="000000"/>
          <w:kern w:val="0"/>
          <w:sz w:val="24"/>
          <w:szCs w:val="24"/>
        </w:rPr>
      </w:pPr>
      <w:r w:rsidRPr="00FF1B88">
        <w:rPr>
          <w:rFonts w:ascii="宋体" w:eastAsia="宋体" w:hAnsi="宋体" w:cs="宋体"/>
          <w:b/>
          <w:bCs/>
          <w:color w:val="000000"/>
          <w:kern w:val="0"/>
          <w:sz w:val="24"/>
          <w:szCs w:val="24"/>
        </w:rPr>
        <w:t>第六章 附则</w:t>
      </w:r>
    </w:p>
    <w:p w14:paraId="1D7D578A" w14:textId="6441561E"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b/>
          <w:bCs/>
          <w:color w:val="000000"/>
          <w:kern w:val="0"/>
          <w:sz w:val="24"/>
          <w:szCs w:val="24"/>
        </w:rPr>
        <w:t>第十八条</w:t>
      </w:r>
      <w:r w:rsidRPr="00FF1B88">
        <w:rPr>
          <w:rFonts w:ascii="宋体" w:eastAsia="宋体" w:hAnsi="宋体" w:cs="宋体"/>
          <w:color w:val="000000"/>
          <w:kern w:val="0"/>
          <w:sz w:val="24"/>
          <w:szCs w:val="24"/>
        </w:rPr>
        <w:t> 本制度对基金会、理事会、理事、监事以及其他高级管理人员具有约束力。</w:t>
      </w:r>
    </w:p>
    <w:p w14:paraId="6C941CC0" w14:textId="0B67B3B1"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b/>
          <w:bCs/>
          <w:color w:val="000000"/>
          <w:kern w:val="0"/>
          <w:sz w:val="24"/>
          <w:szCs w:val="24"/>
        </w:rPr>
        <w:t>第十九条 </w:t>
      </w:r>
      <w:r w:rsidRPr="00FF1B88">
        <w:rPr>
          <w:rFonts w:ascii="宋体" w:eastAsia="宋体" w:hAnsi="宋体" w:cs="宋体"/>
          <w:color w:val="000000"/>
          <w:kern w:val="0"/>
          <w:sz w:val="24"/>
          <w:szCs w:val="24"/>
        </w:rPr>
        <w:t>本制度的解释权归</w:t>
      </w:r>
      <w:r w:rsidRPr="00FF1B88">
        <w:rPr>
          <w:rFonts w:ascii="宋体" w:eastAsia="宋体" w:hAnsi="宋体" w:cs="宋体" w:hint="eastAsia"/>
          <w:color w:val="000000"/>
          <w:kern w:val="0"/>
          <w:sz w:val="24"/>
          <w:szCs w:val="24"/>
        </w:rPr>
        <w:t>浙江省德润公益</w:t>
      </w:r>
      <w:r w:rsidRPr="00FF1B88">
        <w:rPr>
          <w:rFonts w:ascii="宋体" w:eastAsia="宋体" w:hAnsi="宋体" w:cs="宋体"/>
          <w:color w:val="000000"/>
          <w:kern w:val="0"/>
          <w:sz w:val="24"/>
          <w:szCs w:val="24"/>
        </w:rPr>
        <w:t>基金会。</w:t>
      </w:r>
    </w:p>
    <w:p w14:paraId="091FE6DE" w14:textId="05CEA695" w:rsidR="00F24E7C" w:rsidRPr="00FF1B88" w:rsidRDefault="00F24E7C" w:rsidP="00FF1B88">
      <w:pPr>
        <w:spacing w:line="360" w:lineRule="auto"/>
        <w:contextualSpacing/>
        <w:rPr>
          <w:rFonts w:ascii="宋体" w:eastAsia="宋体" w:hAnsi="宋体" w:cs="宋体"/>
          <w:color w:val="000000"/>
          <w:kern w:val="0"/>
          <w:sz w:val="24"/>
          <w:szCs w:val="24"/>
        </w:rPr>
      </w:pPr>
      <w:r w:rsidRPr="00FF1B88">
        <w:rPr>
          <w:rFonts w:ascii="宋体" w:eastAsia="宋体" w:hAnsi="宋体" w:cs="宋体"/>
          <w:b/>
          <w:bCs/>
          <w:color w:val="000000"/>
          <w:kern w:val="0"/>
          <w:sz w:val="24"/>
          <w:szCs w:val="24"/>
        </w:rPr>
        <w:t>第二十条</w:t>
      </w:r>
      <w:r w:rsidRPr="00FF1B88">
        <w:rPr>
          <w:rFonts w:ascii="宋体" w:eastAsia="宋体" w:hAnsi="宋体" w:cs="宋体"/>
          <w:color w:val="000000"/>
          <w:kern w:val="0"/>
          <w:sz w:val="24"/>
          <w:szCs w:val="24"/>
        </w:rPr>
        <w:t> </w:t>
      </w:r>
      <w:r w:rsidR="00FF1B88" w:rsidRPr="00AC5ED8">
        <w:rPr>
          <w:rFonts w:ascii="宋体" w:eastAsia="宋体" w:hAnsi="宋体" w:hint="eastAsia"/>
          <w:color w:val="000000"/>
          <w:sz w:val="24"/>
          <w:szCs w:val="24"/>
        </w:rPr>
        <w:t xml:space="preserve">本制度经基金会第 </w:t>
      </w:r>
      <w:r w:rsidR="00FF1B88" w:rsidRPr="00AC5ED8">
        <w:rPr>
          <w:rFonts w:ascii="宋体" w:eastAsia="宋体" w:hAnsi="宋体"/>
          <w:color w:val="000000"/>
          <w:sz w:val="24"/>
          <w:szCs w:val="24"/>
        </w:rPr>
        <w:t>1</w:t>
      </w:r>
      <w:r w:rsidR="00FF1B88" w:rsidRPr="00AC5ED8">
        <w:rPr>
          <w:rFonts w:ascii="宋体" w:eastAsia="宋体" w:hAnsi="宋体" w:hint="eastAsia"/>
          <w:color w:val="000000"/>
          <w:sz w:val="24"/>
          <w:szCs w:val="24"/>
        </w:rPr>
        <w:t xml:space="preserve"> </w:t>
      </w:r>
      <w:r w:rsidR="00FF1B88" w:rsidRPr="00AC5ED8">
        <w:rPr>
          <w:rFonts w:ascii="宋体" w:eastAsia="宋体" w:hAnsi="宋体"/>
          <w:color w:val="000000"/>
          <w:sz w:val="24"/>
          <w:szCs w:val="24"/>
        </w:rPr>
        <w:t xml:space="preserve"> </w:t>
      </w:r>
      <w:r w:rsidR="00FF1B88" w:rsidRPr="00AC5ED8">
        <w:rPr>
          <w:rFonts w:ascii="宋体" w:eastAsia="宋体" w:hAnsi="宋体" w:hint="eastAsia"/>
          <w:color w:val="000000"/>
          <w:sz w:val="24"/>
          <w:szCs w:val="24"/>
        </w:rPr>
        <w:t xml:space="preserve">届理事会第 </w:t>
      </w:r>
      <w:r w:rsidR="00FF1B88" w:rsidRPr="00AC5ED8">
        <w:rPr>
          <w:rFonts w:ascii="宋体" w:eastAsia="宋体" w:hAnsi="宋体"/>
          <w:color w:val="000000"/>
          <w:sz w:val="24"/>
          <w:szCs w:val="24"/>
        </w:rPr>
        <w:t xml:space="preserve">2 </w:t>
      </w:r>
      <w:r w:rsidR="00FF1B88" w:rsidRPr="00AC5ED8">
        <w:rPr>
          <w:rFonts w:ascii="宋体" w:eastAsia="宋体" w:hAnsi="宋体" w:hint="eastAsia"/>
          <w:color w:val="000000"/>
          <w:sz w:val="24"/>
          <w:szCs w:val="24"/>
        </w:rPr>
        <w:t>次会议于</w:t>
      </w:r>
      <w:r w:rsidR="00FF1B88" w:rsidRPr="00AC5ED8">
        <w:rPr>
          <w:rFonts w:ascii="宋体" w:eastAsia="宋体" w:hAnsi="宋体"/>
          <w:color w:val="000000"/>
          <w:sz w:val="24"/>
          <w:szCs w:val="24"/>
        </w:rPr>
        <w:t>2022</w:t>
      </w:r>
      <w:r w:rsidR="00FF1B88" w:rsidRPr="00AC5ED8">
        <w:rPr>
          <w:rFonts w:ascii="宋体" w:eastAsia="宋体" w:hAnsi="宋体" w:hint="eastAsia"/>
          <w:color w:val="000000"/>
          <w:sz w:val="24"/>
          <w:szCs w:val="24"/>
        </w:rPr>
        <w:t>年</w:t>
      </w:r>
      <w:r w:rsidR="00FF1B88" w:rsidRPr="00AC5ED8">
        <w:rPr>
          <w:rFonts w:ascii="宋体" w:eastAsia="宋体" w:hAnsi="宋体"/>
          <w:color w:val="000000"/>
          <w:sz w:val="24"/>
          <w:szCs w:val="24"/>
        </w:rPr>
        <w:t xml:space="preserve"> 12</w:t>
      </w:r>
      <w:r w:rsidR="00FF1B88" w:rsidRPr="00AC5ED8">
        <w:rPr>
          <w:rFonts w:ascii="宋体" w:eastAsia="宋体" w:hAnsi="宋体" w:hint="eastAsia"/>
          <w:color w:val="000000"/>
          <w:sz w:val="24"/>
          <w:szCs w:val="24"/>
        </w:rPr>
        <w:t xml:space="preserve">月 </w:t>
      </w:r>
      <w:r w:rsidR="00F24876">
        <w:rPr>
          <w:rFonts w:ascii="宋体" w:eastAsia="宋体" w:hAnsi="宋体"/>
          <w:color w:val="000000"/>
          <w:sz w:val="24"/>
          <w:szCs w:val="24"/>
        </w:rPr>
        <w:t>7</w:t>
      </w:r>
      <w:r w:rsidR="00FF1B88" w:rsidRPr="00AC5ED8">
        <w:rPr>
          <w:rFonts w:ascii="宋体" w:eastAsia="宋体" w:hAnsi="宋体" w:hint="eastAsia"/>
          <w:color w:val="000000"/>
          <w:sz w:val="24"/>
          <w:szCs w:val="24"/>
        </w:rPr>
        <w:t>日表决通过之日起试行</w:t>
      </w:r>
      <w:r w:rsidR="00FF1B88">
        <w:rPr>
          <w:rFonts w:ascii="宋体" w:eastAsia="宋体" w:hAnsi="宋体" w:hint="eastAsia"/>
          <w:color w:val="000000"/>
          <w:sz w:val="24"/>
          <w:szCs w:val="24"/>
        </w:rPr>
        <w:t>。</w:t>
      </w:r>
    </w:p>
    <w:p w14:paraId="5F5F8626" w14:textId="77777777" w:rsidR="00F93C63" w:rsidRPr="00FF1B88" w:rsidRDefault="00F93C63" w:rsidP="00FF1B88">
      <w:pPr>
        <w:spacing w:line="360" w:lineRule="auto"/>
        <w:contextualSpacing/>
        <w:rPr>
          <w:rFonts w:ascii="宋体" w:eastAsia="宋体" w:hAnsi="宋体" w:cs="宋体"/>
          <w:color w:val="000000"/>
          <w:kern w:val="0"/>
          <w:sz w:val="24"/>
          <w:szCs w:val="24"/>
        </w:rPr>
      </w:pPr>
    </w:p>
    <w:sectPr w:rsidR="00F93C63" w:rsidRPr="00FF1B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FA07" w14:textId="77777777" w:rsidR="00056817" w:rsidRDefault="00056817" w:rsidP="00DA7D98">
      <w:r>
        <w:separator/>
      </w:r>
    </w:p>
  </w:endnote>
  <w:endnote w:type="continuationSeparator" w:id="0">
    <w:p w14:paraId="728C4AFE" w14:textId="77777777" w:rsidR="00056817" w:rsidRDefault="00056817" w:rsidP="00DA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9F468" w14:textId="77777777" w:rsidR="00056817" w:rsidRDefault="00056817" w:rsidP="00DA7D98">
      <w:r>
        <w:separator/>
      </w:r>
    </w:p>
  </w:footnote>
  <w:footnote w:type="continuationSeparator" w:id="0">
    <w:p w14:paraId="6EB992D4" w14:textId="77777777" w:rsidR="00056817" w:rsidRDefault="00056817" w:rsidP="00DA7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7C"/>
    <w:rsid w:val="00056817"/>
    <w:rsid w:val="003C18FF"/>
    <w:rsid w:val="00B40A8E"/>
    <w:rsid w:val="00DA7D98"/>
    <w:rsid w:val="00F24876"/>
    <w:rsid w:val="00F24E7C"/>
    <w:rsid w:val="00F93C63"/>
    <w:rsid w:val="00FF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43222"/>
  <w15:chartTrackingRefBased/>
  <w15:docId w15:val="{E1C1C54D-A38F-41D8-9A29-DB1FDA88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24E7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F24E7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E7C"/>
    <w:rPr>
      <w:rFonts w:ascii="宋体" w:eastAsia="宋体" w:hAnsi="宋体" w:cs="宋体"/>
      <w:b/>
      <w:bCs/>
      <w:kern w:val="36"/>
      <w:sz w:val="48"/>
      <w:szCs w:val="48"/>
    </w:rPr>
  </w:style>
  <w:style w:type="character" w:customStyle="1" w:styleId="20">
    <w:name w:val="标题 2 字符"/>
    <w:basedOn w:val="a0"/>
    <w:link w:val="2"/>
    <w:uiPriority w:val="9"/>
    <w:rsid w:val="00F24E7C"/>
    <w:rPr>
      <w:rFonts w:ascii="宋体" w:eastAsia="宋体" w:hAnsi="宋体" w:cs="宋体"/>
      <w:b/>
      <w:bCs/>
      <w:kern w:val="0"/>
      <w:sz w:val="36"/>
      <w:szCs w:val="36"/>
    </w:rPr>
  </w:style>
  <w:style w:type="paragraph" w:styleId="a3">
    <w:name w:val="Normal (Web)"/>
    <w:basedOn w:val="a"/>
    <w:uiPriority w:val="99"/>
    <w:semiHidden/>
    <w:unhideWhenUsed/>
    <w:rsid w:val="00F24E7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DA7D9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A7D98"/>
    <w:rPr>
      <w:sz w:val="18"/>
      <w:szCs w:val="18"/>
    </w:rPr>
  </w:style>
  <w:style w:type="paragraph" w:styleId="a6">
    <w:name w:val="footer"/>
    <w:basedOn w:val="a"/>
    <w:link w:val="a7"/>
    <w:uiPriority w:val="99"/>
    <w:unhideWhenUsed/>
    <w:rsid w:val="00DA7D98"/>
    <w:pPr>
      <w:tabs>
        <w:tab w:val="center" w:pos="4153"/>
        <w:tab w:val="right" w:pos="8306"/>
      </w:tabs>
      <w:snapToGrid w:val="0"/>
      <w:jc w:val="left"/>
    </w:pPr>
    <w:rPr>
      <w:sz w:val="18"/>
      <w:szCs w:val="18"/>
    </w:rPr>
  </w:style>
  <w:style w:type="character" w:customStyle="1" w:styleId="a7">
    <w:name w:val="页脚 字符"/>
    <w:basedOn w:val="a0"/>
    <w:link w:val="a6"/>
    <w:uiPriority w:val="99"/>
    <w:rsid w:val="00DA7D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010325">
      <w:bodyDiv w:val="1"/>
      <w:marLeft w:val="0"/>
      <w:marRight w:val="0"/>
      <w:marTop w:val="0"/>
      <w:marBottom w:val="0"/>
      <w:divBdr>
        <w:top w:val="none" w:sz="0" w:space="0" w:color="auto"/>
        <w:left w:val="none" w:sz="0" w:space="0" w:color="auto"/>
        <w:bottom w:val="none" w:sz="0" w:space="0" w:color="auto"/>
        <w:right w:val="none" w:sz="0" w:space="0" w:color="auto"/>
      </w:divBdr>
      <w:divsChild>
        <w:div w:id="1498691619">
          <w:marLeft w:val="0"/>
          <w:marRight w:val="0"/>
          <w:marTop w:val="0"/>
          <w:marBottom w:val="0"/>
          <w:divBdr>
            <w:top w:val="none" w:sz="0" w:space="0" w:color="auto"/>
            <w:left w:val="none" w:sz="0" w:space="0" w:color="auto"/>
            <w:bottom w:val="none" w:sz="0" w:space="0" w:color="auto"/>
            <w:right w:val="none" w:sz="0" w:space="0" w:color="auto"/>
          </w:divBdr>
          <w:divsChild>
            <w:div w:id="1273365143">
              <w:marLeft w:val="0"/>
              <w:marRight w:val="0"/>
              <w:marTop w:val="0"/>
              <w:marBottom w:val="0"/>
              <w:divBdr>
                <w:top w:val="none" w:sz="0" w:space="0" w:color="auto"/>
                <w:left w:val="none" w:sz="0" w:space="0" w:color="auto"/>
                <w:bottom w:val="none" w:sz="0" w:space="0" w:color="auto"/>
                <w:right w:val="none" w:sz="0" w:space="0" w:color="auto"/>
              </w:divBdr>
              <w:divsChild>
                <w:div w:id="509025497">
                  <w:marLeft w:val="-225"/>
                  <w:marRight w:val="-225"/>
                  <w:marTop w:val="0"/>
                  <w:marBottom w:val="0"/>
                  <w:divBdr>
                    <w:top w:val="none" w:sz="0" w:space="0" w:color="auto"/>
                    <w:left w:val="none" w:sz="0" w:space="0" w:color="auto"/>
                    <w:bottom w:val="none" w:sz="0" w:space="0" w:color="auto"/>
                    <w:right w:val="none" w:sz="0" w:space="0" w:color="auto"/>
                  </w:divBdr>
                  <w:divsChild>
                    <w:div w:id="9485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43329">
          <w:marLeft w:val="0"/>
          <w:marRight w:val="0"/>
          <w:marTop w:val="0"/>
          <w:marBottom w:val="0"/>
          <w:divBdr>
            <w:top w:val="none" w:sz="0" w:space="0" w:color="auto"/>
            <w:left w:val="none" w:sz="0" w:space="0" w:color="auto"/>
            <w:bottom w:val="none" w:sz="0" w:space="0" w:color="auto"/>
            <w:right w:val="none" w:sz="0" w:space="0" w:color="auto"/>
          </w:divBdr>
          <w:divsChild>
            <w:div w:id="564531669">
              <w:marLeft w:val="0"/>
              <w:marRight w:val="0"/>
              <w:marTop w:val="0"/>
              <w:marBottom w:val="0"/>
              <w:divBdr>
                <w:top w:val="none" w:sz="0" w:space="0" w:color="auto"/>
                <w:left w:val="none" w:sz="0" w:space="0" w:color="auto"/>
                <w:bottom w:val="none" w:sz="0" w:space="0" w:color="auto"/>
                <w:right w:val="none" w:sz="0" w:space="0" w:color="auto"/>
              </w:divBdr>
              <w:divsChild>
                <w:div w:id="100508497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中金财富证券</dc:creator>
  <cp:keywords/>
  <dc:description/>
  <cp:lastModifiedBy>中金财富证券</cp:lastModifiedBy>
  <cp:revision>4</cp:revision>
  <dcterms:created xsi:type="dcterms:W3CDTF">2022-11-01T02:20:00Z</dcterms:created>
  <dcterms:modified xsi:type="dcterms:W3CDTF">2022-12-02T00:36:00Z</dcterms:modified>
</cp:coreProperties>
</file>