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mbria" w:hAnsi="Cambria"/>
          <w:kern w:val="0"/>
          <w:sz w:val="32"/>
          <w:szCs w:val="32"/>
        </w:rPr>
      </w:pPr>
      <w:r>
        <w:rPr>
          <w:rFonts w:hint="eastAsia" w:ascii="黑体" w:hAnsi="黑体" w:eastAsia="黑体"/>
          <w:b/>
          <w:bCs/>
          <w:color w:val="3F3734"/>
          <w:spacing w:val="23"/>
          <w:kern w:val="0"/>
          <w:sz w:val="32"/>
          <w:szCs w:val="32"/>
        </w:rPr>
        <w:t>浙江省德润公益基金会资产管理制度</w:t>
      </w:r>
    </w:p>
    <w:p>
      <w:pPr>
        <w:rPr>
          <w:rFonts w:ascii="Cambria" w:hAnsi="Cambria"/>
          <w:kern w:val="0"/>
          <w:sz w:val="24"/>
          <w:szCs w:val="24"/>
        </w:rPr>
      </w:pPr>
      <w:r>
        <w:rPr>
          <w:rFonts w:ascii="Cambria" w:hAnsi="Cambria"/>
          <w:kern w:val="0"/>
          <w:sz w:val="24"/>
          <w:szCs w:val="24"/>
        </w:rPr>
        <w:t> </w:t>
      </w:r>
    </w:p>
    <w:p>
      <w:pPr>
        <w:spacing w:line="360" w:lineRule="auto"/>
        <w:jc w:val="left"/>
        <w:rPr>
          <w:rFonts w:ascii="宋体" w:hAnsi="宋体" w:eastAsia="宋体"/>
          <w:kern w:val="0"/>
          <w:sz w:val="24"/>
          <w:szCs w:val="24"/>
        </w:rPr>
      </w:pPr>
      <w:r>
        <w:rPr>
          <w:rFonts w:hint="eastAsia" w:ascii="宋体" w:hAnsi="宋体" w:eastAsia="宋体"/>
          <w:b/>
          <w:bCs/>
          <w:color w:val="3F3734"/>
          <w:kern w:val="0"/>
          <w:sz w:val="24"/>
          <w:szCs w:val="24"/>
        </w:rPr>
        <w:t>第一章</w:t>
      </w:r>
      <w:r>
        <w:rPr>
          <w:rFonts w:ascii="宋体" w:hAnsi="宋体" w:eastAsia="宋体" w:cs="Calibri"/>
          <w:b/>
          <w:bCs/>
          <w:color w:val="3F3734"/>
          <w:kern w:val="0"/>
          <w:sz w:val="24"/>
          <w:szCs w:val="24"/>
        </w:rPr>
        <w:t> </w:t>
      </w:r>
      <w:r>
        <w:rPr>
          <w:rFonts w:hint="eastAsia" w:ascii="宋体" w:hAnsi="宋体" w:eastAsia="宋体"/>
          <w:b/>
          <w:bCs/>
          <w:color w:val="3F3734"/>
          <w:kern w:val="0"/>
          <w:sz w:val="24"/>
          <w:szCs w:val="24"/>
        </w:rPr>
        <w:t>总 则</w:t>
      </w:r>
    </w:p>
    <w:p>
      <w:pPr>
        <w:spacing w:line="360" w:lineRule="auto"/>
        <w:jc w:val="left"/>
        <w:rPr>
          <w:rFonts w:ascii="宋体" w:hAnsi="宋体" w:eastAsia="宋体"/>
          <w:kern w:val="0"/>
          <w:sz w:val="24"/>
          <w:szCs w:val="24"/>
        </w:rPr>
      </w:pPr>
      <w:r>
        <w:rPr>
          <w:rFonts w:hint="eastAsia" w:ascii="宋体" w:hAnsi="宋体" w:eastAsia="宋体"/>
          <w:color w:val="3F3734"/>
          <w:kern w:val="0"/>
          <w:sz w:val="24"/>
          <w:szCs w:val="24"/>
        </w:rPr>
        <w:t>第一条 为规范基金会资产管理，根据《中华人民共和国公益事业捐赠法》、《基金会管理条例》、《民政部关于印发&lt;关于规范基金会行为的若干规定（试行）&gt;的通知》、《财政部关于印发&lt;民间非营利组织会计制度&gt;的通知》等规定和本基金会章程，结合实际，制定本制度。</w:t>
      </w:r>
    </w:p>
    <w:p>
      <w:pPr>
        <w:spacing w:line="360" w:lineRule="auto"/>
        <w:jc w:val="left"/>
        <w:rPr>
          <w:rFonts w:ascii="宋体" w:hAnsi="宋体" w:eastAsia="宋体"/>
          <w:kern w:val="0"/>
          <w:sz w:val="24"/>
          <w:szCs w:val="24"/>
        </w:rPr>
      </w:pPr>
      <w:r>
        <w:rPr>
          <w:rFonts w:hint="eastAsia" w:ascii="宋体" w:hAnsi="宋体" w:eastAsia="宋体"/>
          <w:color w:val="3F3734"/>
          <w:kern w:val="0"/>
          <w:sz w:val="24"/>
          <w:szCs w:val="24"/>
        </w:rPr>
        <w:t>第二条 本制度所称资产管理主要指投资管理、固定资产管理及捐赠物资管理。</w:t>
      </w:r>
    </w:p>
    <w:p>
      <w:pPr>
        <w:spacing w:line="360" w:lineRule="auto"/>
        <w:jc w:val="left"/>
        <w:rPr>
          <w:rFonts w:ascii="宋体" w:hAnsi="宋体" w:eastAsia="宋体"/>
          <w:kern w:val="0"/>
          <w:sz w:val="24"/>
          <w:szCs w:val="24"/>
        </w:rPr>
      </w:pPr>
      <w:r>
        <w:rPr>
          <w:rFonts w:hint="eastAsia" w:ascii="宋体" w:hAnsi="宋体" w:eastAsia="宋体"/>
          <w:color w:val="3F3734"/>
          <w:kern w:val="0"/>
          <w:sz w:val="24"/>
          <w:szCs w:val="24"/>
        </w:rPr>
        <w:t>第三条 本基金会资产管理的基本原则是：合法、安全、有效。</w:t>
      </w:r>
    </w:p>
    <w:p>
      <w:pPr>
        <w:spacing w:line="360" w:lineRule="auto"/>
        <w:jc w:val="left"/>
        <w:rPr>
          <w:rFonts w:ascii="宋体" w:hAnsi="宋体" w:eastAsia="宋体"/>
          <w:kern w:val="0"/>
          <w:sz w:val="24"/>
          <w:szCs w:val="24"/>
        </w:rPr>
      </w:pPr>
      <w:r>
        <w:rPr>
          <w:rFonts w:hint="eastAsia" w:ascii="宋体" w:hAnsi="宋体" w:eastAsia="宋体"/>
          <w:color w:val="3F3734"/>
          <w:kern w:val="0"/>
          <w:sz w:val="24"/>
          <w:szCs w:val="24"/>
        </w:rPr>
        <w:t>第四条 本基金会按照《民间非营利组织会计制度》对资产进行会计核算和披露。</w:t>
      </w:r>
    </w:p>
    <w:p>
      <w:pPr>
        <w:spacing w:line="360" w:lineRule="auto"/>
        <w:jc w:val="left"/>
        <w:rPr>
          <w:rFonts w:ascii="宋体" w:hAnsi="宋体" w:eastAsia="宋体"/>
          <w:kern w:val="0"/>
          <w:sz w:val="24"/>
          <w:szCs w:val="24"/>
        </w:rPr>
      </w:pPr>
      <w:r>
        <w:rPr>
          <w:rFonts w:hint="eastAsia" w:ascii="宋体" w:hAnsi="宋体" w:eastAsia="宋体"/>
          <w:b/>
          <w:bCs/>
          <w:color w:val="3F3734"/>
          <w:kern w:val="0"/>
          <w:sz w:val="24"/>
          <w:szCs w:val="24"/>
        </w:rPr>
        <w:t>第二章 投资管理</w:t>
      </w:r>
    </w:p>
    <w:p>
      <w:pPr>
        <w:spacing w:line="360" w:lineRule="auto"/>
        <w:jc w:val="left"/>
        <w:rPr>
          <w:rFonts w:ascii="宋体" w:hAnsi="宋体" w:eastAsia="宋体"/>
          <w:kern w:val="0"/>
          <w:sz w:val="24"/>
          <w:szCs w:val="24"/>
        </w:rPr>
      </w:pPr>
      <w:r>
        <w:rPr>
          <w:rFonts w:hint="eastAsia" w:ascii="宋体" w:hAnsi="宋体" w:eastAsia="宋体"/>
          <w:color w:val="3F3734"/>
          <w:kern w:val="0"/>
          <w:sz w:val="24"/>
          <w:szCs w:val="24"/>
        </w:rPr>
        <w:t>第五条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基金会投资及资产的保值增值，遵循以下规定：</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（一）坚持合法、安全、有效的原则，符合基金会的宗旨，维护基金会的信誉，遵守捐赠人和受助人的约定；</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（二）基金会的投资活动以不妨碍正常公益活动为前提，必须保持足够的现金和货币基金等流动性较高的资产，以保证按捐赠和资助协议的约定及时、足额划拨应付款项，保证公益支出的实现；</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（三）基金会可用于投资的资产限于非限定性资产、在投资期间暂不需要拨付的限定性资产；</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（四）基金会进行委托投资，应当委托银行或者其他金融机构进行。</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第六条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基金会各项投资应明确投资止损原则，通过有效的过程管理控制投资风险。</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第七条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一般不直接投资举办经营性经济实体；确因特殊情况需要投资或参股经营性经济实体，经过风险评估和充分论证，谨慎参与，且投资收益高于银行同期存款利率；所投资举办的经营性经济实体资产和收益属于基金会所有，每年应进行财务审计，并将财务审计报告报送登记管理机关备案。</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第八条</w:t>
      </w:r>
      <w:r>
        <w:rPr>
          <w:rFonts w:ascii="宋体" w:hAnsi="宋体" w:eastAsia="宋体" w:cs="Calibri"/>
          <w:color w:val="3F3734"/>
          <w:kern w:val="0"/>
          <w:sz w:val="24"/>
          <w:szCs w:val="24"/>
        </w:rPr>
        <w:t> </w:t>
      </w:r>
      <w:r>
        <w:rPr>
          <w:rFonts w:hint="eastAsia" w:ascii="宋体" w:hAnsi="宋体" w:eastAsia="宋体"/>
          <w:color w:val="3F3734"/>
          <w:kern w:val="0"/>
          <w:sz w:val="24"/>
          <w:szCs w:val="24"/>
        </w:rPr>
        <w:t>本基金会投资资产占基金会总资产的比</w:t>
      </w:r>
      <w:r>
        <w:rPr>
          <w:rFonts w:hint="eastAsia" w:ascii="宋体" w:hAnsi="宋体" w:eastAsia="宋体"/>
          <w:color w:val="3F3734"/>
          <w:kern w:val="0"/>
          <w:sz w:val="24"/>
          <w:szCs w:val="24"/>
          <w:highlight w:val="none"/>
        </w:rPr>
        <w:t>例一般为</w:t>
      </w:r>
      <w:r>
        <w:rPr>
          <w:rFonts w:hint="eastAsia" w:ascii="宋体" w:hAnsi="宋体" w:eastAsia="宋体"/>
          <w:color w:val="3F3734"/>
          <w:kern w:val="0"/>
          <w:sz w:val="24"/>
          <w:szCs w:val="24"/>
          <w:highlight w:val="none"/>
          <w:lang w:val="en-US" w:eastAsia="zh-CN"/>
        </w:rPr>
        <w:t>5</w:t>
      </w:r>
      <w:r>
        <w:rPr>
          <w:rFonts w:hint="eastAsia" w:ascii="宋体" w:hAnsi="宋体" w:eastAsia="宋体"/>
          <w:color w:val="3F3734"/>
          <w:kern w:val="0"/>
          <w:sz w:val="24"/>
          <w:szCs w:val="24"/>
          <w:highlight w:val="none"/>
        </w:rPr>
        <w:t>%，最高不超过</w:t>
      </w:r>
      <w:r>
        <w:rPr>
          <w:rFonts w:hint="eastAsia" w:ascii="宋体" w:hAnsi="宋体" w:eastAsia="宋体"/>
          <w:color w:val="3F3734"/>
          <w:kern w:val="0"/>
          <w:sz w:val="24"/>
          <w:szCs w:val="24"/>
          <w:highlight w:val="none"/>
          <w:lang w:val="en-US" w:eastAsia="zh-CN"/>
        </w:rPr>
        <w:t>50</w:t>
      </w:r>
      <w:r>
        <w:rPr>
          <w:rFonts w:ascii="宋体" w:hAnsi="宋体" w:eastAsia="宋体"/>
          <w:color w:val="3F3734"/>
          <w:kern w:val="0"/>
          <w:sz w:val="24"/>
          <w:szCs w:val="24"/>
          <w:highlight w:val="none"/>
        </w:rPr>
        <w:t xml:space="preserve"> </w:t>
      </w:r>
      <w:r>
        <w:rPr>
          <w:rFonts w:hint="eastAsia" w:ascii="宋体" w:hAnsi="宋体" w:eastAsia="宋体"/>
          <w:color w:val="3F3734"/>
          <w:kern w:val="0"/>
          <w:sz w:val="24"/>
          <w:szCs w:val="24"/>
          <w:highlight w:val="none"/>
        </w:rPr>
        <w:t>%。</w:t>
      </w:r>
    </w:p>
    <w:p>
      <w:pPr>
        <w:spacing w:line="360" w:lineRule="auto"/>
        <w:jc w:val="left"/>
        <w:rPr>
          <w:rFonts w:ascii="宋体" w:hAnsi="宋体" w:eastAsia="宋体"/>
          <w:kern w:val="0"/>
          <w:sz w:val="24"/>
          <w:szCs w:val="24"/>
        </w:rPr>
      </w:pPr>
      <w:r>
        <w:rPr>
          <w:rFonts w:hint="eastAsia" w:ascii="宋体" w:hAnsi="宋体" w:eastAsia="宋体"/>
          <w:color w:val="3F3734"/>
          <w:kern w:val="0"/>
          <w:sz w:val="24"/>
          <w:szCs w:val="24"/>
        </w:rPr>
        <w:t>第九条</w:t>
      </w:r>
      <w:r>
        <w:rPr>
          <w:rFonts w:ascii="宋体" w:hAnsi="宋体" w:eastAsia="宋体" w:cs="Calibri"/>
          <w:color w:val="3F3734"/>
          <w:kern w:val="0"/>
          <w:sz w:val="24"/>
          <w:szCs w:val="24"/>
        </w:rPr>
        <w:t> </w:t>
      </w:r>
      <w:r>
        <w:rPr>
          <w:rFonts w:hint="eastAsia" w:ascii="宋体" w:hAnsi="宋体" w:eastAsia="宋体"/>
          <w:color w:val="3F3734"/>
          <w:kern w:val="0"/>
          <w:sz w:val="24"/>
          <w:szCs w:val="24"/>
        </w:rPr>
        <w:t>投资项目应当建立专项档案，完整保存投资的论证、审批、管理和回收</w:t>
      </w:r>
      <w:bookmarkStart w:id="0" w:name="_GoBack"/>
      <w:bookmarkEnd w:id="0"/>
      <w:r>
        <w:rPr>
          <w:rFonts w:hint="eastAsia" w:ascii="宋体" w:hAnsi="宋体" w:eastAsia="宋体"/>
          <w:color w:val="3F3734"/>
          <w:kern w:val="0"/>
          <w:sz w:val="24"/>
          <w:szCs w:val="24"/>
        </w:rPr>
        <w:t>等全过程资料。</w:t>
      </w:r>
    </w:p>
    <w:p>
      <w:pPr>
        <w:spacing w:line="360" w:lineRule="auto"/>
        <w:jc w:val="left"/>
        <w:rPr>
          <w:rFonts w:ascii="宋体" w:hAnsi="宋体" w:eastAsia="宋体"/>
          <w:kern w:val="0"/>
          <w:sz w:val="24"/>
          <w:szCs w:val="24"/>
        </w:rPr>
      </w:pPr>
      <w:r>
        <w:rPr>
          <w:rFonts w:hint="eastAsia" w:ascii="宋体" w:hAnsi="宋体" w:eastAsia="宋体"/>
          <w:b/>
          <w:bCs/>
          <w:color w:val="3F3734"/>
          <w:kern w:val="0"/>
          <w:sz w:val="24"/>
          <w:szCs w:val="24"/>
        </w:rPr>
        <w:t>第三章 固定资产管理</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第十条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基金会固定资产管理与处置坚持统一核算、分工负责、物尽其用的原则。</w:t>
      </w:r>
    </w:p>
    <w:p>
      <w:pPr>
        <w:spacing w:line="360" w:lineRule="auto"/>
        <w:jc w:val="left"/>
        <w:rPr>
          <w:rFonts w:ascii="宋体" w:hAnsi="宋体" w:eastAsia="宋体" w:cs="Calibri"/>
          <w:color w:val="3F3734"/>
          <w:kern w:val="0"/>
          <w:sz w:val="24"/>
          <w:szCs w:val="24"/>
        </w:rPr>
      </w:pPr>
      <w:r>
        <w:rPr>
          <w:rFonts w:hint="eastAsia" w:ascii="宋体" w:hAnsi="宋体" w:eastAsia="宋体"/>
          <w:color w:val="3F3734"/>
          <w:kern w:val="0"/>
          <w:sz w:val="24"/>
          <w:szCs w:val="24"/>
        </w:rPr>
        <w:t>第十一条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基金会的固定资产价值核算，严格执行《民间非营利组织会计制度》的相关规定。</w:t>
      </w:r>
      <w:r>
        <w:rPr>
          <w:rFonts w:ascii="宋体" w:hAnsi="宋体" w:eastAsia="宋体" w:cs="Calibri"/>
          <w:color w:val="3F3734"/>
          <w:kern w:val="0"/>
          <w:sz w:val="24"/>
          <w:szCs w:val="24"/>
        </w:rPr>
        <w:t> </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第十二条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固定资产的购置和调入。购置和调入固定资产，必须按本基金会有关固定资产处置审批权限和程序报批，并相应做好验收工作。属于技术专用设备的还应会同有关专业技术人员共同验收。验收合格后，及时办理相应手续。</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第十三条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固定资产的调出和报废。对使用年限已久，确无修复价值或因技术发展已丧失价值以及闲置的，要按规定及时处理，调出和报废固定资产，必须按本基金会固定资产处置审批权限报批。有处置收入的由出纳人员将所收取款项及时入账并开具收据。</w:t>
      </w:r>
    </w:p>
    <w:p>
      <w:pPr>
        <w:spacing w:line="360" w:lineRule="auto"/>
        <w:jc w:val="left"/>
        <w:rPr>
          <w:rFonts w:ascii="宋体" w:hAnsi="宋体" w:eastAsia="宋体" w:cs="Calibri"/>
          <w:color w:val="3F3734"/>
          <w:kern w:val="0"/>
          <w:sz w:val="24"/>
          <w:szCs w:val="24"/>
        </w:rPr>
      </w:pPr>
      <w:r>
        <w:rPr>
          <w:rFonts w:hint="eastAsia" w:ascii="宋体" w:hAnsi="宋体" w:eastAsia="宋体"/>
          <w:color w:val="3F3734"/>
          <w:kern w:val="0"/>
          <w:sz w:val="24"/>
          <w:szCs w:val="24"/>
        </w:rPr>
        <w:t>第十四条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固定资产的盘点和清查。基金会固定资产至少每年盘点一次、作到帐实相符。盘盈的固定资产应当按照其公允价值入账，并计入当期收入；盘亏的固定资产在减去过失人或保险公司等赔款和残料价值后计入当期费用。</w:t>
      </w:r>
      <w:r>
        <w:rPr>
          <w:rFonts w:ascii="宋体" w:hAnsi="宋体" w:eastAsia="宋体" w:cs="Calibri"/>
          <w:color w:val="3F3734"/>
          <w:kern w:val="0"/>
          <w:sz w:val="24"/>
          <w:szCs w:val="24"/>
        </w:rPr>
        <w:t> </w:t>
      </w:r>
    </w:p>
    <w:p>
      <w:pPr>
        <w:spacing w:line="360" w:lineRule="auto"/>
        <w:jc w:val="left"/>
        <w:rPr>
          <w:rFonts w:ascii="宋体" w:hAnsi="宋体" w:eastAsia="宋体" w:cs="Calibri"/>
          <w:color w:val="3F3734"/>
          <w:kern w:val="0"/>
          <w:sz w:val="24"/>
          <w:szCs w:val="24"/>
        </w:rPr>
      </w:pPr>
      <w:r>
        <w:rPr>
          <w:rFonts w:hint="eastAsia" w:ascii="宋体" w:hAnsi="宋体" w:eastAsia="宋体"/>
          <w:color w:val="3F3734"/>
          <w:kern w:val="0"/>
          <w:sz w:val="24"/>
          <w:szCs w:val="24"/>
        </w:rPr>
        <w:t>第十五条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外部使用本单位的固定资产，要实行有偿使用制度，合理收取占用费、使用费。</w:t>
      </w:r>
      <w:r>
        <w:rPr>
          <w:rFonts w:ascii="宋体" w:hAnsi="宋体" w:eastAsia="宋体" w:cs="Calibri"/>
          <w:color w:val="3F3734"/>
          <w:kern w:val="0"/>
          <w:sz w:val="24"/>
          <w:szCs w:val="24"/>
        </w:rPr>
        <w:t> </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第十六条</w:t>
      </w:r>
      <w:r>
        <w:rPr>
          <w:rFonts w:ascii="宋体" w:hAnsi="宋体" w:eastAsia="宋体" w:cs="Calibri"/>
          <w:color w:val="3F3734"/>
          <w:kern w:val="0"/>
          <w:sz w:val="24"/>
          <w:szCs w:val="24"/>
        </w:rPr>
        <w:t> </w:t>
      </w:r>
      <w:r>
        <w:rPr>
          <w:rFonts w:hint="eastAsia" w:ascii="宋体" w:hAnsi="宋体" w:eastAsia="宋体"/>
          <w:color w:val="3F3734"/>
          <w:kern w:val="0"/>
          <w:sz w:val="24"/>
          <w:szCs w:val="24"/>
        </w:rPr>
        <w:t>任何组织和个人不得侵占、挪用或任意调拨基金会的固定资产。</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第十七条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固定资产管理人员变动，及时办理交接手续。</w:t>
      </w:r>
    </w:p>
    <w:p>
      <w:pPr>
        <w:spacing w:line="360" w:lineRule="auto"/>
        <w:jc w:val="left"/>
        <w:rPr>
          <w:rFonts w:ascii="宋体" w:hAnsi="宋体" w:eastAsia="宋体"/>
          <w:kern w:val="0"/>
          <w:sz w:val="24"/>
          <w:szCs w:val="24"/>
        </w:rPr>
      </w:pPr>
      <w:r>
        <w:rPr>
          <w:rFonts w:hint="eastAsia" w:ascii="宋体" w:hAnsi="宋体" w:eastAsia="宋体"/>
          <w:b/>
          <w:bCs/>
          <w:color w:val="3F3734"/>
          <w:kern w:val="0"/>
          <w:sz w:val="24"/>
          <w:szCs w:val="24"/>
        </w:rPr>
        <w:t>第四章 捐赠物资管理</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第十八条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基金会接受食品、药品、医疗器械等捐赠物品，应当确保物品在到达最终受益人时仍处于保质期内且具有使用价值。</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第十九条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基金会接受企业捐赠本企业生产的产品，应当要求企业提供产品质量认证证明或者产品合格证，以及受赠物品的品名、规格、种类、数量等相关资料。</w:t>
      </w:r>
    </w:p>
    <w:p>
      <w:pPr>
        <w:spacing w:line="360" w:lineRule="auto"/>
        <w:rPr>
          <w:rFonts w:ascii="宋体" w:hAnsi="宋体" w:eastAsia="宋体"/>
          <w:color w:val="3F3734"/>
          <w:kern w:val="0"/>
          <w:sz w:val="24"/>
          <w:szCs w:val="24"/>
        </w:rPr>
      </w:pPr>
      <w:r>
        <w:rPr>
          <w:rFonts w:hint="eastAsia" w:ascii="宋体" w:hAnsi="宋体" w:eastAsia="宋体"/>
          <w:color w:val="3F3734"/>
          <w:kern w:val="0"/>
          <w:sz w:val="24"/>
          <w:szCs w:val="24"/>
        </w:rPr>
        <w:t>第二十条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对于指定用于救助自然灾害等突发事件的受赠财产，用于应急的应当在应急期结束前使用完毕；用于灾后重建的应当在重建期结束前使用完毕。</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对确因特殊原因无法使用完毕的受赠财产，基金会可在取得捐赠人同意或在公开媒体上公示后，将受赠财产用于与原公益目的相近似的目的。</w:t>
      </w:r>
    </w:p>
    <w:p>
      <w:pPr>
        <w:spacing w:line="360" w:lineRule="auto"/>
        <w:jc w:val="left"/>
        <w:rPr>
          <w:rFonts w:ascii="宋体" w:hAnsi="宋体" w:eastAsia="宋体"/>
          <w:kern w:val="0"/>
          <w:sz w:val="24"/>
          <w:szCs w:val="24"/>
        </w:rPr>
      </w:pPr>
      <w:r>
        <w:rPr>
          <w:rFonts w:hint="eastAsia" w:ascii="宋体" w:hAnsi="宋体" w:eastAsia="宋体"/>
          <w:b/>
          <w:bCs/>
          <w:color w:val="3F3734"/>
          <w:kern w:val="0"/>
          <w:sz w:val="24"/>
          <w:szCs w:val="24"/>
        </w:rPr>
        <w:t>第五章 资产交易</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第二十一条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基金会进行交换交易，应当保护自身和社会公众的合法权益。不得以低于公允价值的价格出售物资、提供服务、授权或者转让无形资产；不得以高于公允价值的价格购买产品和服务。</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第二十二条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基金会理事、监事及其近亲属不得与本基金会有任何资产交易行为。　　</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第二十三条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基金会不得从事以下行为：</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（一）向个人、企业直接提供与公益活动无关的借款；</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（二）以合作等任何名义直接宣传、促销、销售企业的产品和品牌，为企业及其产品提供信誉或者质量担保；</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（三）对外提供任何形式的经济担保或财产担保；</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（四）将本基金会的组织名称、公益项目品牌等其他应当用于公益目的的无形资产用于非公益目的；</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（五）基金会的资金投向期货、期权等衍生金融工具；</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（六）从事可能使本基金会承担无限责任的投资；</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（七）从事违背本基金会使命、可能损害信誉的投资；</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（八）国家法律法规禁止的其他投资行为。</w:t>
      </w:r>
    </w:p>
    <w:p>
      <w:pPr>
        <w:spacing w:line="360" w:lineRule="auto"/>
        <w:jc w:val="left"/>
        <w:rPr>
          <w:rFonts w:ascii="宋体" w:hAnsi="宋体" w:eastAsia="宋体"/>
          <w:kern w:val="0"/>
          <w:sz w:val="24"/>
          <w:szCs w:val="24"/>
        </w:rPr>
      </w:pPr>
      <w:r>
        <w:rPr>
          <w:rFonts w:hint="eastAsia" w:ascii="宋体" w:hAnsi="宋体" w:eastAsia="宋体"/>
          <w:b/>
          <w:bCs/>
          <w:color w:val="3F3734"/>
          <w:kern w:val="0"/>
          <w:sz w:val="24"/>
          <w:szCs w:val="24"/>
        </w:rPr>
        <w:t>第六章 管理责任</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第二十四条</w:t>
      </w:r>
      <w:r>
        <w:rPr>
          <w:rFonts w:ascii="宋体" w:hAnsi="宋体" w:eastAsia="宋体" w:cs="Calibri"/>
          <w:color w:val="3F3734"/>
          <w:kern w:val="0"/>
          <w:sz w:val="24"/>
          <w:szCs w:val="24"/>
        </w:rPr>
        <w:t> </w:t>
      </w:r>
      <w:r>
        <w:rPr>
          <w:rFonts w:hint="eastAsia" w:ascii="宋体" w:hAnsi="宋体" w:eastAsia="宋体"/>
          <w:color w:val="3F3734"/>
          <w:kern w:val="0"/>
          <w:sz w:val="24"/>
          <w:szCs w:val="24"/>
        </w:rPr>
        <w:t>本基金会的资产管理坚持统筹决策、各司其职相互配合、有效制衡的原则，建立资产管理责任体系和追踪问责制度，健全内部管控和制衡机制，有效防控风险，提高资产管理效能。</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第二十五条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基金会投资决策与执行应当分离。建立规范的投资决策议事规则，投资计划必须经过理事会决策同意方可执行。理事会授权理事长或投资委员会开展投资活动的，投资方案也应当报经理事会决策同意。</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投资决策记录应载明投资事项、参与表决理事的意见和签名，并存入档案。执行情况应定期向理事会汇报。</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第二十六条</w:t>
      </w:r>
      <w:r>
        <w:rPr>
          <w:rFonts w:ascii="宋体" w:hAnsi="宋体" w:eastAsia="宋体" w:cs="Calibri"/>
          <w:color w:val="3F3734"/>
          <w:kern w:val="0"/>
          <w:sz w:val="24"/>
          <w:szCs w:val="24"/>
        </w:rPr>
        <w:t> </w:t>
      </w:r>
      <w:r>
        <w:rPr>
          <w:rFonts w:hint="eastAsia" w:ascii="宋体" w:hAnsi="宋体" w:eastAsia="宋体"/>
          <w:color w:val="3F3734"/>
          <w:kern w:val="0"/>
          <w:sz w:val="24"/>
          <w:szCs w:val="24"/>
        </w:rPr>
        <w:t>理事会对资产管理履行以下决策职责：</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（一）制定资产管理的具体规定；</w:t>
      </w:r>
    </w:p>
    <w:p>
      <w:pPr>
        <w:spacing w:line="360" w:lineRule="auto"/>
        <w:jc w:val="left"/>
        <w:rPr>
          <w:rFonts w:ascii="宋体" w:hAnsi="宋体" w:eastAsia="宋体" w:cs="Calibri"/>
          <w:color w:val="3F3734"/>
          <w:kern w:val="0"/>
          <w:sz w:val="24"/>
          <w:szCs w:val="24"/>
        </w:rPr>
      </w:pPr>
      <w:r>
        <w:rPr>
          <w:rFonts w:hint="eastAsia" w:ascii="宋体" w:hAnsi="宋体" w:eastAsia="宋体"/>
          <w:color w:val="3F3734"/>
          <w:kern w:val="0"/>
          <w:sz w:val="24"/>
          <w:szCs w:val="24"/>
        </w:rPr>
        <w:t>（二）确定年度投资计划和资产处置计划；</w:t>
      </w:r>
      <w:r>
        <w:rPr>
          <w:rFonts w:ascii="宋体" w:hAnsi="宋体" w:eastAsia="宋体" w:cs="Calibri"/>
          <w:color w:val="3F3734"/>
          <w:kern w:val="0"/>
          <w:sz w:val="24"/>
          <w:szCs w:val="24"/>
        </w:rPr>
        <w:t> </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（三）决定投资方案；</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（四）检查、监督资产管理落实工作；</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（五）其他有关资产管理的重要事项。</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第二十七条</w:t>
      </w:r>
      <w:r>
        <w:rPr>
          <w:rFonts w:ascii="宋体" w:hAnsi="宋体" w:eastAsia="宋体" w:cs="Calibri"/>
          <w:color w:val="3F3734"/>
          <w:kern w:val="0"/>
          <w:sz w:val="24"/>
          <w:szCs w:val="24"/>
        </w:rPr>
        <w:t> </w:t>
      </w:r>
      <w:r>
        <w:rPr>
          <w:rFonts w:hint="eastAsia" w:ascii="宋体" w:hAnsi="宋体" w:eastAsia="宋体"/>
          <w:color w:val="3F3734"/>
          <w:kern w:val="0"/>
          <w:sz w:val="24"/>
          <w:szCs w:val="24"/>
        </w:rPr>
        <w:t>理事遇有个人利益与本基金会资产利益关联时，不得参与相关事宜的决策。</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第二十八条</w:t>
      </w:r>
      <w:r>
        <w:rPr>
          <w:rFonts w:ascii="宋体" w:hAnsi="宋体" w:eastAsia="宋体" w:cs="Calibri"/>
          <w:color w:val="3F3734"/>
          <w:kern w:val="0"/>
          <w:sz w:val="24"/>
          <w:szCs w:val="24"/>
        </w:rPr>
        <w:t> </w:t>
      </w:r>
      <w:r>
        <w:rPr>
          <w:rFonts w:hint="eastAsia" w:ascii="宋体" w:hAnsi="宋体" w:eastAsia="宋体"/>
          <w:color w:val="3F3734"/>
          <w:kern w:val="0"/>
          <w:sz w:val="24"/>
          <w:szCs w:val="24"/>
        </w:rPr>
        <w:t>本制度规定由理事会审批的事项，履行基金会章程规定的决策程序。　　</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第二十九条</w:t>
      </w:r>
      <w:r>
        <w:rPr>
          <w:rFonts w:ascii="宋体" w:hAnsi="宋体" w:eastAsia="宋体" w:cs="Calibri"/>
          <w:color w:val="3F3734"/>
          <w:kern w:val="0"/>
          <w:sz w:val="24"/>
          <w:szCs w:val="24"/>
        </w:rPr>
        <w:t> 秘书处</w:t>
      </w:r>
      <w:r>
        <w:rPr>
          <w:rFonts w:hint="eastAsia" w:ascii="宋体" w:hAnsi="宋体" w:eastAsia="宋体"/>
          <w:color w:val="3F3734"/>
          <w:kern w:val="0"/>
          <w:sz w:val="24"/>
          <w:szCs w:val="24"/>
        </w:rPr>
        <w:t>是本基金会资产的具体管理部门,履行以下管理职责：　　（一）执行理事会制定的投资战略、具体规定及其他有关决议；</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（二）执行年度投资计划和资产处置计划，负责相关投资管理和资产处置落实工作；</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（三）负责对投资资产的监督管理和固定资产的日常管理；</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（四）会同财务部门做好非现金资产盘点、登记和管理工作，做到账实相符、账表相符；</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（五）完成理事会授权和交办的其他资产管理工作。</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第三十条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基金会财务部门在理事会领导下，履行基金会资产财会管理职责；　　（一）负责资产的财务管理和会计核算；</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（二）建立健全资产内部会计控制与财务监督制度，依法依规编制资产管理财务报表，保证会计资料合法、真实、准确、完整；</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（三）参与固定资产的清查盘点；</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（四）依法进行审计；</w:t>
      </w:r>
    </w:p>
    <w:p>
      <w:pPr>
        <w:spacing w:line="360" w:lineRule="auto"/>
        <w:jc w:val="left"/>
        <w:rPr>
          <w:rFonts w:ascii="宋体" w:hAnsi="宋体" w:eastAsia="宋体" w:cs="Calibri"/>
          <w:color w:val="3F3734"/>
          <w:kern w:val="0"/>
          <w:sz w:val="24"/>
          <w:szCs w:val="24"/>
        </w:rPr>
      </w:pPr>
      <w:r>
        <w:rPr>
          <w:rFonts w:hint="eastAsia" w:ascii="宋体" w:hAnsi="宋体" w:eastAsia="宋体"/>
          <w:color w:val="3F3734"/>
          <w:kern w:val="0"/>
          <w:sz w:val="24"/>
          <w:szCs w:val="24"/>
        </w:rPr>
        <w:t>（五）依法履行财务信息披露义务；</w:t>
      </w:r>
      <w:r>
        <w:rPr>
          <w:rFonts w:ascii="宋体" w:hAnsi="宋体" w:eastAsia="宋体" w:cs="Calibri"/>
          <w:color w:val="3F3734"/>
          <w:kern w:val="0"/>
          <w:sz w:val="24"/>
          <w:szCs w:val="24"/>
        </w:rPr>
        <w:t> </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（六）完成理事会授权和交办的其他工作。</w:t>
      </w:r>
    </w:p>
    <w:p>
      <w:pPr>
        <w:spacing w:line="360" w:lineRule="auto"/>
        <w:jc w:val="left"/>
        <w:rPr>
          <w:rFonts w:ascii="宋体" w:hAnsi="宋体" w:eastAsia="宋体" w:cs="Calibri"/>
          <w:color w:val="3F3734"/>
          <w:kern w:val="0"/>
          <w:sz w:val="24"/>
          <w:szCs w:val="24"/>
        </w:rPr>
      </w:pPr>
      <w:r>
        <w:rPr>
          <w:rFonts w:hint="eastAsia" w:ascii="宋体" w:hAnsi="宋体" w:eastAsia="宋体"/>
          <w:color w:val="3F3734"/>
          <w:kern w:val="0"/>
          <w:sz w:val="24"/>
          <w:szCs w:val="24"/>
        </w:rPr>
        <w:t>第三十一条</w:t>
      </w:r>
      <w:r>
        <w:rPr>
          <w:rFonts w:ascii="宋体" w:hAnsi="宋体" w:eastAsia="宋体" w:cs="Calibri"/>
          <w:color w:val="3F3734"/>
          <w:kern w:val="0"/>
          <w:sz w:val="24"/>
          <w:szCs w:val="24"/>
        </w:rPr>
        <w:t> </w:t>
      </w:r>
      <w:r>
        <w:rPr>
          <w:rFonts w:hint="eastAsia" w:ascii="宋体" w:hAnsi="宋体" w:eastAsia="宋体"/>
          <w:color w:val="3F3734"/>
          <w:kern w:val="0"/>
          <w:sz w:val="24"/>
          <w:szCs w:val="24"/>
        </w:rPr>
        <w:t>按照不相容职务分离的要求，会计岗位、出纳岗位和投资岗位的人员不得相互兼任。</w:t>
      </w:r>
      <w:r>
        <w:rPr>
          <w:rFonts w:ascii="宋体" w:hAnsi="宋体" w:eastAsia="宋体" w:cs="Calibri"/>
          <w:color w:val="3F3734"/>
          <w:kern w:val="0"/>
          <w:sz w:val="24"/>
          <w:szCs w:val="24"/>
        </w:rPr>
        <w:t>  </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第三十二条</w:t>
      </w:r>
      <w:r>
        <w:rPr>
          <w:rFonts w:ascii="宋体" w:hAnsi="宋体" w:eastAsia="宋体" w:cs="Calibri"/>
          <w:color w:val="3F3734"/>
          <w:kern w:val="0"/>
          <w:sz w:val="24"/>
          <w:szCs w:val="24"/>
        </w:rPr>
        <w:t> </w:t>
      </w:r>
      <w:r>
        <w:rPr>
          <w:rFonts w:hint="eastAsia" w:ascii="宋体" w:hAnsi="宋体" w:eastAsia="宋体"/>
          <w:color w:val="3F3734"/>
          <w:kern w:val="0"/>
          <w:sz w:val="24"/>
          <w:szCs w:val="24"/>
        </w:rPr>
        <w:t>基金会人员发生以下行为，视情节轻重对有关责任人给予相应处理；造成资产损失的，应当承担相应赔偿责任；涉嫌犯罪的，移交司法机关处理：　　</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（一）理事会违反《基金会管理条例》和章程规定决策不当，致使基金会遭受财产损失；</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（二）未经规定程序审批，擅自投资或处置资产；</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（三）玩忽职守造成资产损失；</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（四）营私舞弊，以基金会资产为自己或他人谋取私利；</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（五）私分、侵占、挪用基金会资产；</w:t>
      </w:r>
    </w:p>
    <w:p>
      <w:pPr>
        <w:spacing w:line="360" w:lineRule="auto"/>
        <w:jc w:val="left"/>
        <w:rPr>
          <w:rFonts w:ascii="宋体" w:hAnsi="宋体" w:eastAsia="宋体"/>
          <w:kern w:val="0"/>
          <w:sz w:val="24"/>
          <w:szCs w:val="24"/>
        </w:rPr>
      </w:pPr>
      <w:r>
        <w:rPr>
          <w:rFonts w:hint="eastAsia" w:ascii="宋体" w:hAnsi="宋体" w:eastAsia="宋体"/>
          <w:color w:val="3F3734"/>
          <w:kern w:val="0"/>
          <w:sz w:val="24"/>
          <w:szCs w:val="24"/>
        </w:rPr>
        <w:t>（六）其他违反制度规定，造成资产损失或损害本基金会信誉的行为。</w:t>
      </w:r>
    </w:p>
    <w:p>
      <w:pPr>
        <w:spacing w:line="360" w:lineRule="auto"/>
        <w:jc w:val="left"/>
        <w:rPr>
          <w:rFonts w:ascii="宋体" w:hAnsi="宋体" w:eastAsia="宋体"/>
          <w:kern w:val="0"/>
          <w:sz w:val="24"/>
          <w:szCs w:val="24"/>
        </w:rPr>
      </w:pPr>
      <w:r>
        <w:rPr>
          <w:rFonts w:hint="eastAsia" w:ascii="宋体" w:hAnsi="宋体" w:eastAsia="宋体"/>
          <w:b/>
          <w:bCs/>
          <w:color w:val="3F3734"/>
          <w:kern w:val="0"/>
          <w:sz w:val="24"/>
          <w:szCs w:val="24"/>
        </w:rPr>
        <w:t>第七章</w:t>
      </w:r>
      <w:r>
        <w:rPr>
          <w:rFonts w:ascii="宋体" w:hAnsi="宋体" w:eastAsia="宋体" w:cs="Calibri"/>
          <w:b/>
          <w:bCs/>
          <w:color w:val="3F3734"/>
          <w:kern w:val="0"/>
          <w:sz w:val="24"/>
          <w:szCs w:val="24"/>
        </w:rPr>
        <w:t> </w:t>
      </w:r>
      <w:r>
        <w:rPr>
          <w:rFonts w:hint="eastAsia" w:ascii="宋体" w:hAnsi="宋体" w:eastAsia="宋体"/>
          <w:b/>
          <w:bCs/>
          <w:color w:val="3F3734"/>
          <w:kern w:val="0"/>
          <w:sz w:val="24"/>
          <w:szCs w:val="24"/>
        </w:rPr>
        <w:t>附 则</w:t>
      </w:r>
    </w:p>
    <w:p>
      <w:pPr>
        <w:spacing w:line="360" w:lineRule="auto"/>
        <w:jc w:val="left"/>
        <w:rPr>
          <w:rFonts w:ascii="宋体" w:hAnsi="宋体" w:eastAsia="宋体"/>
          <w:color w:val="3F3734"/>
          <w:kern w:val="0"/>
          <w:sz w:val="24"/>
          <w:szCs w:val="24"/>
        </w:rPr>
      </w:pPr>
      <w:r>
        <w:rPr>
          <w:rFonts w:hint="eastAsia" w:ascii="宋体" w:hAnsi="宋体" w:eastAsia="宋体"/>
          <w:color w:val="3F3734"/>
          <w:kern w:val="0"/>
          <w:sz w:val="24"/>
          <w:szCs w:val="24"/>
        </w:rPr>
        <w:t>第三十三条</w:t>
      </w:r>
      <w:r>
        <w:rPr>
          <w:rFonts w:ascii="宋体" w:hAnsi="宋体" w:eastAsia="宋体" w:cs="Calibri"/>
          <w:color w:val="3F3734"/>
          <w:kern w:val="0"/>
          <w:sz w:val="24"/>
          <w:szCs w:val="24"/>
        </w:rPr>
        <w:t> </w:t>
      </w:r>
      <w:r>
        <w:rPr>
          <w:rFonts w:hint="eastAsia" w:ascii="宋体" w:hAnsi="宋体" w:eastAsia="宋体"/>
          <w:color w:val="3F3734"/>
          <w:kern w:val="0"/>
          <w:sz w:val="24"/>
          <w:szCs w:val="24"/>
        </w:rPr>
        <w:t>本制度未尽事宜或与有关规定不一致的，按有关规定执行。</w:t>
      </w:r>
      <w:r>
        <w:rPr>
          <w:rFonts w:ascii="宋体" w:hAnsi="宋体" w:eastAsia="宋体"/>
          <w:kern w:val="0"/>
          <w:sz w:val="24"/>
          <w:szCs w:val="24"/>
        </w:rPr>
        <w:br w:type="textWrapping"/>
      </w:r>
      <w:r>
        <w:rPr>
          <w:rFonts w:hint="eastAsia" w:ascii="宋体" w:hAnsi="宋体" w:eastAsia="宋体"/>
          <w:color w:val="3F3734"/>
          <w:kern w:val="0"/>
          <w:sz w:val="24"/>
          <w:szCs w:val="24"/>
        </w:rPr>
        <w:t>第三十四条</w:t>
      </w:r>
      <w:r>
        <w:rPr>
          <w:rFonts w:ascii="宋体" w:hAnsi="宋体" w:eastAsia="宋体" w:cs="Calibri"/>
          <w:color w:val="3F3734"/>
          <w:kern w:val="0"/>
          <w:sz w:val="24"/>
          <w:szCs w:val="24"/>
        </w:rPr>
        <w:t> </w:t>
      </w:r>
      <w:r>
        <w:rPr>
          <w:rFonts w:hint="eastAsia" w:ascii="宋体" w:hAnsi="宋体" w:eastAsia="宋体"/>
          <w:color w:val="3F3734"/>
          <w:kern w:val="0"/>
          <w:sz w:val="24"/>
          <w:szCs w:val="24"/>
        </w:rPr>
        <w:t>本制度由理事会负责解释。</w:t>
      </w:r>
    </w:p>
    <w:p>
      <w:pPr>
        <w:spacing w:line="360" w:lineRule="auto"/>
        <w:rPr>
          <w:rFonts w:ascii="宋体" w:hAnsi="宋体" w:eastAsia="宋体" w:cs="Courier New"/>
          <w:sz w:val="24"/>
          <w:szCs w:val="24"/>
        </w:rPr>
      </w:pPr>
      <w:r>
        <w:rPr>
          <w:rFonts w:hint="eastAsia" w:ascii="宋体" w:hAnsi="宋体" w:eastAsia="宋体"/>
          <w:color w:val="3F3734"/>
          <w:kern w:val="0"/>
          <w:sz w:val="24"/>
          <w:szCs w:val="24"/>
        </w:rPr>
        <w:t>第三十五条</w:t>
      </w:r>
      <w:r>
        <w:rPr>
          <w:rFonts w:ascii="Calibri" w:hAnsi="Calibri" w:cs="Calibri"/>
          <w:color w:val="3F3734"/>
          <w:kern w:val="0"/>
          <w:sz w:val="24"/>
          <w:szCs w:val="24"/>
        </w:rPr>
        <w:t xml:space="preserve">  </w:t>
      </w:r>
      <w:r>
        <w:rPr>
          <w:rFonts w:ascii="Calibri" w:hAnsi="Calibri" w:eastAsia="仿宋" w:cs="Calibri"/>
          <w:color w:val="3F3734"/>
          <w:kern w:val="0"/>
          <w:sz w:val="24"/>
          <w:szCs w:val="24"/>
        </w:rPr>
        <w:t> </w:t>
      </w:r>
      <w:r>
        <w:rPr>
          <w:rFonts w:hint="eastAsia" w:ascii="宋体" w:hAnsi="宋体" w:eastAsia="宋体"/>
          <w:color w:val="000000"/>
          <w:sz w:val="24"/>
          <w:szCs w:val="24"/>
        </w:rPr>
        <w:t>本制度经基金会第 1  届理事会第 2 次会议于2022年 12月 7日表决通过之日起试行</w:t>
      </w:r>
      <w:r>
        <w:rPr>
          <w:rFonts w:hint="eastAsia" w:ascii="宋体" w:hAnsi="宋体" w:eastAsia="宋体" w:cs="Courier New"/>
          <w:sz w:val="24"/>
          <w:szCs w:val="24"/>
        </w:rPr>
        <w:t>。</w:t>
      </w:r>
    </w:p>
    <w:p>
      <w:pPr>
        <w:widowControl/>
        <w:spacing w:line="360" w:lineRule="auto"/>
        <w:jc w:val="left"/>
        <w:rPr>
          <w:rFonts w:ascii="宋体" w:hAnsi="宋体" w:eastAsia="宋体" w:cs="宋体"/>
          <w:color w:val="000000"/>
          <w:kern w:val="0"/>
          <w:sz w:val="24"/>
          <w:szCs w:val="24"/>
        </w:rPr>
      </w:pPr>
    </w:p>
    <w:p>
      <w:pPr>
        <w:spacing w:line="360" w:lineRule="auto"/>
        <w:jc w:val="left"/>
        <w:rPr>
          <w:rFonts w:ascii="仿宋" w:hAnsi="仿宋" w:eastAsia="仿宋"/>
          <w:color w:val="3F3734"/>
          <w:kern w:val="0"/>
          <w:sz w:val="24"/>
          <w:szCs w:val="24"/>
        </w:rPr>
      </w:pPr>
    </w:p>
    <w:p>
      <w:pPr>
        <w:spacing w:line="360" w:lineRule="auto"/>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jMjM3MThmZmIyMzlkM2EzZWVhNDY5MDg2NzRjN2EifQ=="/>
  </w:docVars>
  <w:rsids>
    <w:rsidRoot w:val="00AC2650"/>
    <w:rsid w:val="001D7A45"/>
    <w:rsid w:val="00632062"/>
    <w:rsid w:val="006A5B6B"/>
    <w:rsid w:val="00850F50"/>
    <w:rsid w:val="00983124"/>
    <w:rsid w:val="00AC2650"/>
    <w:rsid w:val="00E128F6"/>
    <w:rsid w:val="00F62F6A"/>
    <w:rsid w:val="241A2AF3"/>
    <w:rsid w:val="604E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character" w:customStyle="1" w:styleId="7">
    <w:name w:val="标题 1 字符"/>
    <w:basedOn w:val="4"/>
    <w:link w:val="2"/>
    <w:qFormat/>
    <w:uiPriority w:val="9"/>
    <w:rPr>
      <w:rFonts w:ascii="宋体" w:hAnsi="宋体" w:eastAsia="宋体" w:cs="宋体"/>
      <w:b/>
      <w:bCs/>
      <w:kern w:val="36"/>
      <w:sz w:val="48"/>
      <w:szCs w:val="48"/>
    </w:rPr>
  </w:style>
  <w:style w:type="character" w:customStyle="1" w:styleId="8">
    <w:name w:val="w-crumbs-category"/>
    <w:basedOn w:val="4"/>
    <w:qFormat/>
    <w:uiPriority w:val="0"/>
  </w:style>
  <w:style w:type="character" w:customStyle="1" w:styleId="9">
    <w:name w:val="w-crumbs-caption"/>
    <w:basedOn w:val="4"/>
    <w:qFormat/>
    <w:uiPriority w:val="0"/>
  </w:style>
  <w:style w:type="paragraph" w:customStyle="1" w:styleId="10">
    <w:name w:val="正文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2951</Words>
  <Characters>2956</Characters>
  <Lines>22</Lines>
  <Paragraphs>6</Paragraphs>
  <TotalTime>127</TotalTime>
  <ScaleCrop>false</ScaleCrop>
  <LinksUpToDate>false</LinksUpToDate>
  <CharactersWithSpaces>3031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2022-11-29T01:58:00Z</dcterms:created>
  <dc:creator>中金财富证券</dc:creator>
  <cp:lastModifiedBy>Sunshine</cp:lastModifiedBy>
  <dcterms:modified xsi:type="dcterms:W3CDTF">2022-12-28T07:59:56Z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3E6EC14B47D84AC0A157E9DEDBD86D32</vt:lpwstr>
  </property>
</Properties>
</file>